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FA" w:rsidRPr="0028572C" w:rsidRDefault="00F72AFA" w:rsidP="0028572C">
      <w:pPr>
        <w:spacing w:line="240" w:lineRule="exact"/>
        <w:rPr>
          <w:rFonts w:ascii="微软雅黑" w:eastAsia="微软雅黑" w:hAnsi="微软雅黑" w:cs="宋体" w:hint="eastAsia"/>
          <w:kern w:val="0"/>
          <w:sz w:val="22"/>
          <w:szCs w:val="22"/>
        </w:rPr>
      </w:pPr>
    </w:p>
    <w:p w:rsidR="00F72AFA" w:rsidRPr="0028572C" w:rsidRDefault="00DE40B4" w:rsidP="00C34E0B">
      <w:pPr>
        <w:spacing w:line="600" w:lineRule="exact"/>
        <w:jc w:val="center"/>
        <w:rPr>
          <w:rFonts w:ascii="微软雅黑" w:eastAsia="微软雅黑" w:hAnsi="微软雅黑" w:cs="宋体"/>
          <w:b/>
          <w:color w:val="FF0000"/>
          <w:kern w:val="0"/>
          <w:sz w:val="40"/>
          <w:szCs w:val="40"/>
        </w:rPr>
      </w:pPr>
      <w:r w:rsidRPr="0028572C">
        <w:rPr>
          <w:rFonts w:ascii="微软雅黑" w:eastAsia="微软雅黑" w:hAnsi="微软雅黑" w:cs="宋体" w:hint="eastAsia"/>
          <w:b/>
          <w:color w:val="FF0000"/>
          <w:kern w:val="0"/>
          <w:sz w:val="40"/>
          <w:szCs w:val="40"/>
        </w:rPr>
        <w:t>中华人民共和国可再生能源法</w:t>
      </w:r>
    </w:p>
    <w:p w:rsidR="00F72AFA" w:rsidRDefault="00F72AFA" w:rsidP="0028572C">
      <w:pPr>
        <w:spacing w:line="240" w:lineRule="exact"/>
        <w:rPr>
          <w:rFonts w:ascii="微软雅黑" w:eastAsia="微软雅黑" w:hAnsi="微软雅黑" w:cs="宋体"/>
          <w:kern w:val="0"/>
          <w:sz w:val="22"/>
          <w:szCs w:val="22"/>
        </w:rPr>
      </w:pPr>
    </w:p>
    <w:p w:rsidR="00C34E0B" w:rsidRDefault="00C34E0B" w:rsidP="00C34E0B">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2010-04-01</w:t>
      </w:r>
    </w:p>
    <w:p w:rsidR="00C34E0B" w:rsidRPr="0028572C" w:rsidRDefault="00C34E0B" w:rsidP="0028572C">
      <w:pPr>
        <w:spacing w:line="240" w:lineRule="exact"/>
        <w:rPr>
          <w:rFonts w:ascii="微软雅黑" w:eastAsia="微软雅黑" w:hAnsi="微软雅黑" w:cs="宋体" w:hint="eastAsia"/>
          <w:kern w:val="0"/>
          <w:sz w:val="22"/>
          <w:szCs w:val="22"/>
        </w:rPr>
      </w:pPr>
    </w:p>
    <w:p w:rsidR="00F72AFA" w:rsidRPr="00C34E0B" w:rsidRDefault="00DE40B4" w:rsidP="00C34E0B">
      <w:pPr>
        <w:spacing w:line="240" w:lineRule="exact"/>
        <w:ind w:leftChars="200" w:left="640" w:rightChars="200" w:right="640" w:firstLineChars="200" w:firstLine="420"/>
        <w:rPr>
          <w:rFonts w:ascii="微软雅黑" w:eastAsia="微软雅黑" w:hAnsi="微软雅黑" w:cs="楷体_GB2312"/>
          <w:kern w:val="0"/>
          <w:sz w:val="21"/>
          <w:szCs w:val="21"/>
        </w:rPr>
      </w:pPr>
      <w:r w:rsidRPr="00C34E0B">
        <w:rPr>
          <w:rFonts w:ascii="微软雅黑" w:eastAsia="微软雅黑" w:hAnsi="微软雅黑" w:cs="楷体_GB2312" w:hint="eastAsia"/>
          <w:kern w:val="0"/>
          <w:sz w:val="21"/>
          <w:szCs w:val="21"/>
        </w:rPr>
        <w:t>（2005年2月28日第十届全国人民代表大会常务委员会第十四次会议通过　根据2009年12月26日第十一届全国人民代表大会常务委员会第十二次会议《关于修改&lt;中华人民共和国可再生能源法&gt;的决定》修正）</w:t>
      </w:r>
    </w:p>
    <w:p w:rsidR="00F72AFA" w:rsidRPr="0028572C" w:rsidRDefault="00F72AFA" w:rsidP="0028572C">
      <w:pPr>
        <w:spacing w:line="240" w:lineRule="exact"/>
        <w:ind w:rightChars="200" w:right="640"/>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楷体_GB2312"/>
          <w:kern w:val="0"/>
          <w:sz w:val="22"/>
          <w:szCs w:val="22"/>
        </w:rPr>
      </w:pPr>
      <w:r w:rsidRPr="0028572C">
        <w:rPr>
          <w:rFonts w:ascii="微软雅黑" w:eastAsia="微软雅黑" w:hAnsi="微软雅黑" w:cs="楷体_GB2312" w:hint="eastAsia"/>
          <w:kern w:val="0"/>
          <w:sz w:val="22"/>
          <w:szCs w:val="22"/>
        </w:rPr>
        <w:t>目　　录</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第一章　总则</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第二章　资源调查与发展规划</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第三章　产业指导与技术支持</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第四章　推广与应用</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第五章　价格管理与费用补偿</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第六章　经济激励与监督措施</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第七章　法律责任</w:t>
      </w:r>
    </w:p>
    <w:p w:rsidR="00F72AFA" w:rsidRPr="0028572C" w:rsidRDefault="00DE40B4" w:rsidP="0028572C">
      <w:pPr>
        <w:spacing w:line="240" w:lineRule="exact"/>
        <w:rPr>
          <w:rFonts w:ascii="微软雅黑" w:eastAsia="微软雅黑" w:hAnsi="微软雅黑" w:cs="楷体_GB2312"/>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第八章　附则</w:t>
      </w:r>
    </w:p>
    <w:p w:rsidR="00F72AFA" w:rsidRPr="00C34E0B" w:rsidRDefault="00F72AFA" w:rsidP="00C34E0B">
      <w:pPr>
        <w:spacing w:line="320" w:lineRule="exact"/>
        <w:rPr>
          <w:rFonts w:ascii="微软雅黑" w:eastAsia="微软雅黑" w:hAnsi="微软雅黑" w:cs="Arial"/>
          <w:kern w:val="0"/>
          <w:sz w:val="24"/>
        </w:rPr>
      </w:pPr>
    </w:p>
    <w:p w:rsidR="00F72AFA" w:rsidRPr="00C34E0B" w:rsidRDefault="00DE40B4" w:rsidP="00C34E0B">
      <w:pPr>
        <w:spacing w:line="320" w:lineRule="exact"/>
        <w:jc w:val="center"/>
        <w:rPr>
          <w:rFonts w:ascii="微软雅黑" w:eastAsia="微软雅黑" w:hAnsi="微软雅黑" w:cs="Arial"/>
          <w:kern w:val="0"/>
          <w:sz w:val="24"/>
        </w:rPr>
      </w:pPr>
      <w:r w:rsidRPr="00C34E0B">
        <w:rPr>
          <w:rFonts w:ascii="微软雅黑" w:eastAsia="微软雅黑" w:hAnsi="微软雅黑" w:cs="黑体" w:hint="eastAsia"/>
          <w:kern w:val="0"/>
          <w:sz w:val="24"/>
        </w:rPr>
        <w:t>第一章　总则</w:t>
      </w:r>
    </w:p>
    <w:p w:rsidR="00F72AFA" w:rsidRPr="00C34E0B" w:rsidRDefault="00F72AFA" w:rsidP="00C34E0B">
      <w:pPr>
        <w:spacing w:line="320" w:lineRule="exact"/>
        <w:rPr>
          <w:rFonts w:ascii="微软雅黑" w:eastAsia="微软雅黑" w:hAnsi="微软雅黑" w:cs="Arial"/>
          <w:kern w:val="0"/>
          <w:sz w:val="24"/>
        </w:rPr>
      </w:pP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第一条</w:t>
      </w:r>
      <w:r w:rsidRPr="00C34E0B">
        <w:rPr>
          <w:rFonts w:ascii="微软雅黑" w:eastAsia="微软雅黑" w:hAnsi="微软雅黑" w:cs="Arial" w:hint="eastAsia"/>
          <w:kern w:val="0"/>
          <w:sz w:val="24"/>
        </w:rPr>
        <w:t xml:space="preserve">　为了促进可再生能源的开发利用，增加能源供应，改善能源结构，保障能源安全，保护环境，实现经济社会的可持续发展，制定本法。</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第二条</w:t>
      </w:r>
      <w:r w:rsidRPr="00C34E0B">
        <w:rPr>
          <w:rFonts w:ascii="微软雅黑" w:eastAsia="微软雅黑" w:hAnsi="微软雅黑" w:cs="Arial" w:hint="eastAsia"/>
          <w:kern w:val="0"/>
          <w:sz w:val="24"/>
        </w:rPr>
        <w:t xml:space="preserve">　本法所称可再生能源，是指风能、太阳能、水能、生物质能、地热能、海洋能等非化石能源。</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水力发电对本法的适用，由国务院能源主管部门规定，报国务院批准。</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通过低效率炉灶直接燃烧方式利用秸秆、薪柴、粪便等，不适用本法。</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第三条</w:t>
      </w:r>
      <w:r w:rsidRPr="00C34E0B">
        <w:rPr>
          <w:rFonts w:ascii="微软雅黑" w:eastAsia="微软雅黑" w:hAnsi="微软雅黑" w:cs="Arial" w:hint="eastAsia"/>
          <w:kern w:val="0"/>
          <w:sz w:val="24"/>
        </w:rPr>
        <w:t xml:space="preserve">　本法适用于中华人民共和国领域和管辖的其他海域。</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第四条</w:t>
      </w:r>
      <w:r w:rsidRPr="00C34E0B">
        <w:rPr>
          <w:rFonts w:ascii="微软雅黑" w:eastAsia="微软雅黑" w:hAnsi="微软雅黑" w:cs="Arial" w:hint="eastAsia"/>
          <w:kern w:val="0"/>
          <w:sz w:val="24"/>
        </w:rPr>
        <w:t xml:space="preserve">　国家将可再生能源的开发利用列为能源发展的优先领域，通过制定可再生能源开发利用总量目标和采取相应措施，推动可再生能源市场的建立和发展。</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国家鼓励各种所有制经济主体参与可再生能源的开发利用，依法保护可再生能源开发利用者的合法权益。</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第五条</w:t>
      </w:r>
      <w:r w:rsidRPr="00C34E0B">
        <w:rPr>
          <w:rFonts w:ascii="微软雅黑" w:eastAsia="微软雅黑" w:hAnsi="微软雅黑" w:cs="Arial" w:hint="eastAsia"/>
          <w:kern w:val="0"/>
          <w:sz w:val="24"/>
        </w:rPr>
        <w:t xml:space="preserve">　国务院能源主管部门对全国可再生能源的开发利用实施统一管理。国务院有关部门在各自的职责范围内负责有关的可再生能源开发利用管理工作。</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县级以上地方人民政府管理能源工作的部门负责本行政区域内可再生能源开发利用的管理工作。县级以上地方人民政府有关部门在各自的职责范围内负责有关的可再生能源开发利用管理工作。</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jc w:val="center"/>
        <w:rPr>
          <w:rFonts w:ascii="微软雅黑" w:eastAsia="微软雅黑" w:hAnsi="微软雅黑" w:cs="黑体"/>
          <w:kern w:val="0"/>
          <w:sz w:val="24"/>
        </w:rPr>
      </w:pPr>
      <w:r w:rsidRPr="00C34E0B">
        <w:rPr>
          <w:rFonts w:ascii="微软雅黑" w:eastAsia="微软雅黑" w:hAnsi="微软雅黑" w:cs="黑体" w:hint="eastAsia"/>
          <w:kern w:val="0"/>
          <w:sz w:val="24"/>
        </w:rPr>
        <w:t>第二章　资源调查与发展规划</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第六条</w:t>
      </w:r>
      <w:r w:rsidRPr="00C34E0B">
        <w:rPr>
          <w:rFonts w:ascii="微软雅黑" w:eastAsia="微软雅黑" w:hAnsi="微软雅黑" w:cs="Arial" w:hint="eastAsia"/>
          <w:kern w:val="0"/>
          <w:sz w:val="24"/>
        </w:rPr>
        <w:t xml:space="preserve">　国务院能源主管部门负责组织和协调全国可再生能源资源的调查，并会同国务院有关部门组织制定资源调查的技术规范。</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国务院有关部门在各自的职责范围内负责相关可再生能源资源的调查，调查结果报国务院能源主管部门汇总。</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可再生能源资源的调查结果应当公布；但是，国家规定需要保密的内容除外。</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第七条</w:t>
      </w:r>
      <w:r w:rsidRPr="00C34E0B">
        <w:rPr>
          <w:rFonts w:ascii="微软雅黑" w:eastAsia="微软雅黑" w:hAnsi="微软雅黑" w:cs="Arial" w:hint="eastAsia"/>
          <w:kern w:val="0"/>
          <w:sz w:val="24"/>
        </w:rPr>
        <w:t xml:space="preserve">　国务院能源主管部门根据全国能源需求与可再生能源资源实际状况，制定全国可再生能源开发利用中长期总量目标，报国务院批准后执行，并予公布。</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国务院能源主管部门根据前款规定的总量目标和省、自治区、直辖市经济发展与可再生能源资源实际状况，会同省、自治区、直辖市人民政府确定各行政区域可再生能源开发利用中长期目标，并予公布。</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第八条</w:t>
      </w:r>
      <w:r w:rsidRPr="00C34E0B">
        <w:rPr>
          <w:rFonts w:ascii="微软雅黑" w:eastAsia="微软雅黑" w:hAnsi="微软雅黑" w:cs="Arial" w:hint="eastAsia"/>
          <w:kern w:val="0"/>
          <w:sz w:val="24"/>
        </w:rPr>
        <w:t xml:space="preserve">　国务院能源主管部门会同国务院有关部门，根据全国可再生能源开发利用中长期总量目标和可再生能源技术发展状况，编制全国可再生能源开发利用规划，报国务院批准后实施。</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lastRenderedPageBreak/>
        <w:t xml:space="preserve">　　国务院有关部门应当制定有利于促进全国可再生能源开发利用中长期总量目标实现的相关规划。</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省、自治区、直辖市人民政府管理能源工作的部门会同本级人民政府有关部门，依据全国可再生能源开发利用规划和本行政区域可再生能源开发利用中长期目标，编制本行政区域可再生能源开发利用规划，经本级人民政府批准后，报国务院能源主管部门和国家电力监管机构备案，并组织实施。</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经批准的规划应当公布；但是，国家规定需要保密的内容除外。</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经批准的规划需要修改的，须经原批准机关批准。</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第九条</w:t>
      </w:r>
      <w:r w:rsidRPr="00C34E0B">
        <w:rPr>
          <w:rFonts w:ascii="微软雅黑" w:eastAsia="微软雅黑" w:hAnsi="微软雅黑" w:cs="Arial" w:hint="eastAsia"/>
          <w:kern w:val="0"/>
          <w:sz w:val="24"/>
        </w:rPr>
        <w:t xml:space="preserve">　编制可再生能源开发利用规划，应当遵循因地制宜、统筹兼顾、合理布局、有序发展的原则，对风能、太阳能、水能、生物质能、地热能、海洋能等可再生能源的开发利用</w:t>
      </w:r>
      <w:proofErr w:type="gramStart"/>
      <w:r w:rsidRPr="00C34E0B">
        <w:rPr>
          <w:rFonts w:ascii="微软雅黑" w:eastAsia="微软雅黑" w:hAnsi="微软雅黑" w:cs="Arial" w:hint="eastAsia"/>
          <w:kern w:val="0"/>
          <w:sz w:val="24"/>
        </w:rPr>
        <w:t>作出</w:t>
      </w:r>
      <w:proofErr w:type="gramEnd"/>
      <w:r w:rsidRPr="00C34E0B">
        <w:rPr>
          <w:rFonts w:ascii="微软雅黑" w:eastAsia="微软雅黑" w:hAnsi="微软雅黑" w:cs="Arial" w:hint="eastAsia"/>
          <w:kern w:val="0"/>
          <w:sz w:val="24"/>
        </w:rPr>
        <w:t>统筹安排。规划内容应当包括发展目标、主要任务、区域布局、重点项目、实施进度、配套电网建设、服务体系和保障措施等。</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组织编制机关应当征求有关单位、专家和公众的意见，进行科学论证。</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jc w:val="center"/>
        <w:rPr>
          <w:rFonts w:ascii="微软雅黑" w:eastAsia="微软雅黑" w:hAnsi="微软雅黑" w:cs="黑体"/>
          <w:kern w:val="0"/>
          <w:sz w:val="24"/>
        </w:rPr>
      </w:pPr>
      <w:r w:rsidRPr="00C34E0B">
        <w:rPr>
          <w:rFonts w:ascii="微软雅黑" w:eastAsia="微软雅黑" w:hAnsi="微软雅黑" w:cs="黑体" w:hint="eastAsia"/>
          <w:kern w:val="0"/>
          <w:sz w:val="24"/>
        </w:rPr>
        <w:t>第三章　产业指导与技术支持</w:t>
      </w:r>
    </w:p>
    <w:p w:rsidR="00F72AFA" w:rsidRPr="00C34E0B" w:rsidRDefault="00F72AFA" w:rsidP="00C34E0B">
      <w:pPr>
        <w:spacing w:line="160" w:lineRule="exact"/>
        <w:rPr>
          <w:rFonts w:ascii="微软雅黑" w:eastAsia="微软雅黑" w:hAnsi="微软雅黑" w:cs="宋体"/>
          <w:kern w:val="0"/>
          <w:sz w:val="24"/>
        </w:rPr>
      </w:pP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第十条</w:t>
      </w:r>
      <w:r w:rsidRPr="00C34E0B">
        <w:rPr>
          <w:rFonts w:ascii="微软雅黑" w:eastAsia="微软雅黑" w:hAnsi="微软雅黑" w:cs="Arial" w:hint="eastAsia"/>
          <w:kern w:val="0"/>
          <w:sz w:val="24"/>
        </w:rPr>
        <w:t xml:space="preserve">　国务院能源主管部门根据全国可再生能源开发利用规划，制定、公布可再生能源产业发展指导目录。</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第十一条</w:t>
      </w:r>
      <w:r w:rsidRPr="00C34E0B">
        <w:rPr>
          <w:rFonts w:ascii="微软雅黑" w:eastAsia="微软雅黑" w:hAnsi="微软雅黑" w:cs="Arial" w:hint="eastAsia"/>
          <w:kern w:val="0"/>
          <w:sz w:val="24"/>
        </w:rPr>
        <w:t xml:space="preserve">　国务院标准化行政主管部门应当制定、公布国家可再生能源电力的并网技术标准和其他需要在全国范围内统一技术要求的有关可再生能源技术和产品的国家标准。</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对前款规定的国家标准中未作规定的技术要求，国务院有关部门可以制定相关的行业标准，并报国务院标准化行政主管部门备案。</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第十二条</w:t>
      </w:r>
      <w:r w:rsidRPr="00C34E0B">
        <w:rPr>
          <w:rFonts w:ascii="微软雅黑" w:eastAsia="微软雅黑" w:hAnsi="微软雅黑" w:cs="Arial" w:hint="eastAsia"/>
          <w:kern w:val="0"/>
          <w:sz w:val="24"/>
        </w:rPr>
        <w:t xml:space="preserve">　国家将可再生能源开发利用的科学技术研究和产业化发展列为科技发展与高技术产业发展的优先领域，纳入国家科技发展规划和高技术产业发展规划，并安排资金支持可再生能源开发利用的科学技术研究、应用示范和产业化发展，促进可再生能源开发利用的技术进步，降低可再生能源产品的生产成本，提高产品质量。</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国务院教育行政部门应当将可再生能源知识和技术纳入普通教育、职业教育课程。</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jc w:val="center"/>
        <w:rPr>
          <w:rFonts w:ascii="微软雅黑" w:eastAsia="微软雅黑" w:hAnsi="微软雅黑" w:cs="黑体"/>
          <w:kern w:val="0"/>
          <w:sz w:val="24"/>
        </w:rPr>
      </w:pPr>
      <w:r w:rsidRPr="00C34E0B">
        <w:rPr>
          <w:rFonts w:ascii="微软雅黑" w:eastAsia="微软雅黑" w:hAnsi="微软雅黑" w:cs="黑体" w:hint="eastAsia"/>
          <w:kern w:val="0"/>
          <w:sz w:val="24"/>
        </w:rPr>
        <w:t>第四章　推广与应用</w:t>
      </w:r>
    </w:p>
    <w:p w:rsidR="00F72AFA" w:rsidRPr="00C34E0B" w:rsidRDefault="00F72AFA" w:rsidP="00C34E0B">
      <w:pPr>
        <w:spacing w:line="160" w:lineRule="exact"/>
        <w:rPr>
          <w:rFonts w:ascii="微软雅黑" w:eastAsia="微软雅黑" w:hAnsi="微软雅黑" w:cs="宋体"/>
          <w:kern w:val="0"/>
          <w:sz w:val="24"/>
        </w:rPr>
      </w:pP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第十三条</w:t>
      </w:r>
      <w:r w:rsidRPr="00C34E0B">
        <w:rPr>
          <w:rFonts w:ascii="微软雅黑" w:eastAsia="微软雅黑" w:hAnsi="微软雅黑" w:cs="Arial" w:hint="eastAsia"/>
          <w:kern w:val="0"/>
          <w:sz w:val="24"/>
        </w:rPr>
        <w:t xml:space="preserve">　国家鼓励和支持可再生能源并网发电。</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建设可再生能源并网发电项目，应当依照法律和国务院的规定取得行政许可或者报送备案。</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建设应当取得行政许可的可再生能源并网发电项目，有多人申请同一项目许可的，应当依法通过招标确定被许可人。</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第十四条</w:t>
      </w:r>
      <w:r w:rsidRPr="00C34E0B">
        <w:rPr>
          <w:rFonts w:ascii="微软雅黑" w:eastAsia="微软雅黑" w:hAnsi="微软雅黑" w:cs="Arial" w:hint="eastAsia"/>
          <w:kern w:val="0"/>
          <w:sz w:val="24"/>
        </w:rPr>
        <w:t xml:space="preserve">　国家实行可再生能源发电</w:t>
      </w:r>
      <w:proofErr w:type="gramStart"/>
      <w:r w:rsidRPr="00C34E0B">
        <w:rPr>
          <w:rFonts w:ascii="微软雅黑" w:eastAsia="微软雅黑" w:hAnsi="微软雅黑" w:cs="Arial" w:hint="eastAsia"/>
          <w:kern w:val="0"/>
          <w:sz w:val="24"/>
        </w:rPr>
        <w:t>全额保障</w:t>
      </w:r>
      <w:proofErr w:type="gramEnd"/>
      <w:r w:rsidRPr="00C34E0B">
        <w:rPr>
          <w:rFonts w:ascii="微软雅黑" w:eastAsia="微软雅黑" w:hAnsi="微软雅黑" w:cs="Arial" w:hint="eastAsia"/>
          <w:kern w:val="0"/>
          <w:sz w:val="24"/>
        </w:rPr>
        <w:t>性收购制度。</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国务院能源主管部门会同国家电力监管机构和国务院财政部门，按照全国可再生能源开发利用规划，确定在规划期内应当达到的可再生能源发电量占全部发电量的比重，制定电网企业优先调度和全额收购可再生能源发电的具体办法，并由国务院能源主管部门会同国家电力监管机构在年度中督促落实。</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电网企业应当与按照可再生能源开发利用规划建设，依法取得行政许可或者报送备案的可再生能源发电企业签订并网协议，全额收购其电网覆盖范围内符合并网技术标准的可再生能源并网发电项目的上网电量。发电企业有义务配合电网企业保障电网安全。</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电网企业应当加强电网建设，扩大可再生能源电力配置范围，发展和应用智能电网、储能等技术，完善电网运行管理，提高吸纳可再生能源电力的能力，为可再生能源发电提供上网服务。</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第十五条</w:t>
      </w:r>
      <w:r w:rsidRPr="00C34E0B">
        <w:rPr>
          <w:rFonts w:ascii="微软雅黑" w:eastAsia="微软雅黑" w:hAnsi="微软雅黑" w:cs="Arial" w:hint="eastAsia"/>
          <w:kern w:val="0"/>
          <w:sz w:val="24"/>
        </w:rPr>
        <w:t xml:space="preserve">　国家扶持在电网未覆盖的地区建设可再生能源独立电力系统，为当地生产和生活提供电力服务。</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第十六条</w:t>
      </w:r>
      <w:r w:rsidRPr="00C34E0B">
        <w:rPr>
          <w:rFonts w:ascii="微软雅黑" w:eastAsia="微软雅黑" w:hAnsi="微软雅黑" w:cs="Arial" w:hint="eastAsia"/>
          <w:kern w:val="0"/>
          <w:sz w:val="24"/>
        </w:rPr>
        <w:t xml:space="preserve">　国家鼓励清洁、高效地开发利用生物质燃料，鼓励发展能源作物。</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利用生物质资源生产的燃气和热力，符合城市燃气管网、热力管网的入网技术标准的，经营燃气管网、热力管网的企业应当接收其入网。</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lastRenderedPageBreak/>
        <w:t xml:space="preserve">　　国家鼓励生产和利用生物液体燃料。石油销售企业应当按照国务院能源主管部门或者省级人民政府的规定，将符合国家标准的生物液体燃料纳入其燃料销售体系。</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第十七条</w:t>
      </w:r>
      <w:r w:rsidRPr="00C34E0B">
        <w:rPr>
          <w:rFonts w:ascii="微软雅黑" w:eastAsia="微软雅黑" w:hAnsi="微软雅黑" w:cs="Arial" w:hint="eastAsia"/>
          <w:kern w:val="0"/>
          <w:sz w:val="24"/>
        </w:rPr>
        <w:t xml:space="preserve">　国家鼓励单位和个人安装和使用太阳能热水系统、太阳能供热采暖和制冷系统、太阳能光伏发电系统等太阳能利用系统。</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国务院建设行政主管部门会同国务院有关部门制定太阳能利用系统与建筑结合的技术经济政策和技术规范。</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房地产开发企业应当根据前款规定的技术规范，在建筑物的设计和施工中，为太阳能利用提供必备条件。</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对已建成的建筑物，住户可以在不影响其质量与安全的前提下安装符合技术规范和产品标准的太阳能利用系统；但是，当事人另有约定的除外。</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第十八条</w:t>
      </w:r>
      <w:r w:rsidRPr="00C34E0B">
        <w:rPr>
          <w:rFonts w:ascii="微软雅黑" w:eastAsia="微软雅黑" w:hAnsi="微软雅黑" w:cs="Arial" w:hint="eastAsia"/>
          <w:kern w:val="0"/>
          <w:sz w:val="24"/>
        </w:rPr>
        <w:t xml:space="preserve">　国家鼓励和支持农村地区的可再生能源开发利用。</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县级以上地方人民政府管理能源工作的部门会同有关部门，根据当地经济社会发展、生态保护和卫生综合治理需要等实际情况，制定农村地区可再生能源发展规划，因地制宜地推广应用沼气等生物质资源转化、户用太阳能、小型风能、小型水能等技术。</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县级以上人民政府应当对农村地区的可再生能源利用项目提供财政支持。</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jc w:val="center"/>
        <w:rPr>
          <w:rFonts w:ascii="微软雅黑" w:eastAsia="微软雅黑" w:hAnsi="微软雅黑" w:cs="黑体"/>
          <w:kern w:val="0"/>
          <w:sz w:val="24"/>
        </w:rPr>
      </w:pPr>
      <w:r w:rsidRPr="00C34E0B">
        <w:rPr>
          <w:rFonts w:ascii="微软雅黑" w:eastAsia="微软雅黑" w:hAnsi="微软雅黑" w:cs="黑体" w:hint="eastAsia"/>
          <w:kern w:val="0"/>
          <w:sz w:val="24"/>
        </w:rPr>
        <w:t>第五章　价格管理与费用补偿</w:t>
      </w:r>
    </w:p>
    <w:p w:rsidR="00F72AFA" w:rsidRPr="00C34E0B" w:rsidRDefault="00F72AFA" w:rsidP="00C34E0B">
      <w:pPr>
        <w:spacing w:line="160" w:lineRule="exact"/>
        <w:rPr>
          <w:rFonts w:ascii="微软雅黑" w:eastAsia="微软雅黑" w:hAnsi="微软雅黑" w:cs="宋体"/>
          <w:kern w:val="0"/>
          <w:sz w:val="24"/>
        </w:rPr>
      </w:pP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第十九条</w:t>
      </w:r>
      <w:r w:rsidRPr="00C34E0B">
        <w:rPr>
          <w:rFonts w:ascii="微软雅黑" w:eastAsia="微软雅黑" w:hAnsi="微软雅黑" w:cs="Arial" w:hint="eastAsia"/>
          <w:kern w:val="0"/>
          <w:sz w:val="24"/>
        </w:rPr>
        <w:t xml:space="preserve">　可再生能源发电项目的上网电价，由国务院价格主管部门根据不同类型可再生能源发电的特点和不同地区的情况，按照有利于促进可再生能源开发利用和经济合理的原则确定，并根据可再生能源开发利用技术的发展适时调整。上网电价应当公布。</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依照本法第十三条第三款规定实行招标的可再生能源发电项目的上网电价，按照中标确定的价格执行；但是，不得高于依照前款规定确定的同类可再生能源发电项目的上网电价水平。</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第二十条</w:t>
      </w:r>
      <w:r w:rsidRPr="00C34E0B">
        <w:rPr>
          <w:rFonts w:ascii="微软雅黑" w:eastAsia="微软雅黑" w:hAnsi="微软雅黑" w:cs="Arial" w:hint="eastAsia"/>
          <w:kern w:val="0"/>
          <w:sz w:val="24"/>
        </w:rPr>
        <w:t xml:space="preserve">　电网企业依照本法第十九条规定确定的上网电价收购可再生能源电量所发生的费用，高于按照常规能源发电平均上网电价计算所发生费用之间的差额，由在全国范围对销售电量征收可再生能源电价附加补偿。</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第二十一条</w:t>
      </w:r>
      <w:r w:rsidRPr="00C34E0B">
        <w:rPr>
          <w:rFonts w:ascii="微软雅黑" w:eastAsia="微软雅黑" w:hAnsi="微软雅黑" w:cs="Arial" w:hint="eastAsia"/>
          <w:kern w:val="0"/>
          <w:sz w:val="24"/>
        </w:rPr>
        <w:t xml:space="preserve">　电网企业为收购可再生能源电量而支付的合理的接网费用以及其他合理的相关费用，可以计入电网企业输电成本，并从销售电价中回收。</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第二十二条</w:t>
      </w:r>
      <w:r w:rsidRPr="00C34E0B">
        <w:rPr>
          <w:rFonts w:ascii="微软雅黑" w:eastAsia="微软雅黑" w:hAnsi="微软雅黑" w:cs="Arial" w:hint="eastAsia"/>
          <w:kern w:val="0"/>
          <w:sz w:val="24"/>
        </w:rPr>
        <w:t xml:space="preserve">　国家投资或者补贴建设的公共可再生能源独立电力系统的销售电价，执行同一地区分类销售电价，其合理的运行和管理费用超出销售电价的部分，依照本法第二十条的规定补偿。</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第二十三条</w:t>
      </w:r>
      <w:r w:rsidRPr="00C34E0B">
        <w:rPr>
          <w:rFonts w:ascii="微软雅黑" w:eastAsia="微软雅黑" w:hAnsi="微软雅黑" w:cs="Arial" w:hint="eastAsia"/>
          <w:kern w:val="0"/>
          <w:sz w:val="24"/>
        </w:rPr>
        <w:t xml:space="preserve">　进入城市管网的可再生能源热力和燃气的价格，按照有利于促进可再生能源开发利用和经济合理的原则，根据价格管理权限确定。</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jc w:val="center"/>
        <w:rPr>
          <w:rFonts w:ascii="微软雅黑" w:eastAsia="微软雅黑" w:hAnsi="微软雅黑" w:cs="黑体"/>
          <w:kern w:val="0"/>
          <w:sz w:val="24"/>
        </w:rPr>
      </w:pPr>
      <w:r w:rsidRPr="00C34E0B">
        <w:rPr>
          <w:rFonts w:ascii="微软雅黑" w:eastAsia="微软雅黑" w:hAnsi="微软雅黑" w:cs="黑体" w:hint="eastAsia"/>
          <w:kern w:val="0"/>
          <w:sz w:val="24"/>
        </w:rPr>
        <w:t>第六章　经济激励与监督措施</w:t>
      </w:r>
    </w:p>
    <w:p w:rsidR="00F72AFA" w:rsidRPr="00C34E0B" w:rsidRDefault="00F72AFA" w:rsidP="00C34E0B">
      <w:pPr>
        <w:spacing w:line="160" w:lineRule="exact"/>
        <w:rPr>
          <w:rFonts w:ascii="微软雅黑" w:eastAsia="微软雅黑" w:hAnsi="微软雅黑" w:cs="宋体"/>
          <w:kern w:val="0"/>
          <w:sz w:val="24"/>
        </w:rPr>
      </w:pP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第二十四条</w:t>
      </w:r>
      <w:r w:rsidRPr="00C34E0B">
        <w:rPr>
          <w:rFonts w:ascii="微软雅黑" w:eastAsia="微软雅黑" w:hAnsi="微软雅黑" w:cs="Arial" w:hint="eastAsia"/>
          <w:kern w:val="0"/>
          <w:sz w:val="24"/>
        </w:rPr>
        <w:t xml:space="preserve">　国家财政设立可再生能源发展基金，资金来源包括国家财政年度安排的专项资金和依法征收的可再生能源电价附加收入等。</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可再生能源发展基金用于补偿本法第二十条、第二十二条规定的差额费用，并用于支持以下事项：</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（一）可再生能源开发利用的科学技术研究、标准制定和示范工程；</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（二）农村、牧区的可再生能源利用项目；</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（三）偏远地区和海岛可再生能源独立电力系统建设；</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（四）可再生能源的资源勘查、评价和相关信息系统建设；</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（五）促进可再生能源开发利用设备的本地化生产。</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本法第二十一条规定的接网费用以及其他相关费用，电网企业不能通过销售电价回收的，可以申请可再生能源发展基金补助。</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可再生能源发展基金征收使用管理的具体办法，由国务院财政部门会同国务院能源、价格主管部门制定。</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lastRenderedPageBreak/>
        <w:t xml:space="preserve">　　</w:t>
      </w:r>
      <w:r w:rsidRPr="00C34E0B">
        <w:rPr>
          <w:rFonts w:ascii="微软雅黑" w:eastAsia="微软雅黑" w:hAnsi="微软雅黑" w:cs="黑体" w:hint="eastAsia"/>
          <w:kern w:val="0"/>
          <w:sz w:val="24"/>
        </w:rPr>
        <w:t>第二十五条</w:t>
      </w:r>
      <w:r w:rsidRPr="00C34E0B">
        <w:rPr>
          <w:rFonts w:ascii="微软雅黑" w:eastAsia="微软雅黑" w:hAnsi="微软雅黑" w:cs="Arial" w:hint="eastAsia"/>
          <w:kern w:val="0"/>
          <w:sz w:val="24"/>
        </w:rPr>
        <w:t xml:space="preserve">　对列入国家可再生能源产业发展指导目录、符合信贷条件的可再生能源开发利用项目，金融机构可以提供有财政贴息的优惠贷款。</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第二十六条</w:t>
      </w:r>
      <w:r w:rsidRPr="00C34E0B">
        <w:rPr>
          <w:rFonts w:ascii="微软雅黑" w:eastAsia="微软雅黑" w:hAnsi="微软雅黑" w:cs="Arial" w:hint="eastAsia"/>
          <w:kern w:val="0"/>
          <w:sz w:val="24"/>
        </w:rPr>
        <w:t xml:space="preserve">　国家对列入可再生能源产业发展指导目录的项目给予税收优惠。具体办法由国务院规定。</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第二十七条</w:t>
      </w:r>
      <w:r w:rsidRPr="00C34E0B">
        <w:rPr>
          <w:rFonts w:ascii="微软雅黑" w:eastAsia="微软雅黑" w:hAnsi="微软雅黑" w:cs="Arial" w:hint="eastAsia"/>
          <w:kern w:val="0"/>
          <w:sz w:val="24"/>
        </w:rPr>
        <w:t xml:space="preserve">　电力企业应当真实、完整地记载和保存可再生能源发电的有关资料，并接受电力监管机构的检查和监督。</w:t>
      </w:r>
    </w:p>
    <w:p w:rsidR="00F72AFA" w:rsidRPr="00C34E0B" w:rsidRDefault="00DE40B4" w:rsidP="00C34E0B">
      <w:pPr>
        <w:spacing w:line="320" w:lineRule="exact"/>
        <w:rPr>
          <w:rFonts w:ascii="微软雅黑" w:eastAsia="微软雅黑" w:hAnsi="微软雅黑" w:cs="Arial" w:hint="eastAsia"/>
          <w:kern w:val="0"/>
          <w:sz w:val="24"/>
        </w:rPr>
      </w:pPr>
      <w:r w:rsidRPr="00C34E0B">
        <w:rPr>
          <w:rFonts w:ascii="微软雅黑" w:eastAsia="微软雅黑" w:hAnsi="微软雅黑" w:cs="Arial" w:hint="eastAsia"/>
          <w:kern w:val="0"/>
          <w:sz w:val="24"/>
        </w:rPr>
        <w:t xml:space="preserve">　　电力监管机构进行检查时，应当依照规定的程序进行，并为被检查单位保守商业秘密和其他秘密。</w:t>
      </w:r>
    </w:p>
    <w:p w:rsidR="00F72AFA" w:rsidRPr="00C34E0B" w:rsidRDefault="00DE40B4" w:rsidP="00C34E0B">
      <w:pPr>
        <w:spacing w:line="320" w:lineRule="exact"/>
        <w:jc w:val="center"/>
        <w:rPr>
          <w:rFonts w:ascii="微软雅黑" w:eastAsia="微软雅黑" w:hAnsi="微软雅黑" w:cs="黑体"/>
          <w:kern w:val="0"/>
          <w:sz w:val="24"/>
        </w:rPr>
      </w:pPr>
      <w:r w:rsidRPr="00C34E0B">
        <w:rPr>
          <w:rFonts w:ascii="微软雅黑" w:eastAsia="微软雅黑" w:hAnsi="微软雅黑" w:cs="黑体" w:hint="eastAsia"/>
          <w:kern w:val="0"/>
          <w:sz w:val="24"/>
        </w:rPr>
        <w:t>第七章　法律责任</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第二十八条</w:t>
      </w:r>
      <w:r w:rsidRPr="00C34E0B">
        <w:rPr>
          <w:rFonts w:ascii="微软雅黑" w:eastAsia="微软雅黑" w:hAnsi="微软雅黑" w:cs="Arial" w:hint="eastAsia"/>
          <w:kern w:val="0"/>
          <w:sz w:val="24"/>
        </w:rPr>
        <w:t xml:space="preserve">　国务院能源主管部门和县级以上地方人民政府管理能源工作的部门和其他有关部门在可再生能源开发利用监督管理工作中，违反本法规定，有下列行为之一的，由本级人民政府或者上级人民政府有关部门责令改正，对负有责任的主管人员和其他直接责任人员依法给予行政处分；构成犯罪的，依法追究刑事责任：</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（一）不依法</w:t>
      </w:r>
      <w:proofErr w:type="gramStart"/>
      <w:r w:rsidRPr="00C34E0B">
        <w:rPr>
          <w:rFonts w:ascii="微软雅黑" w:eastAsia="微软雅黑" w:hAnsi="微软雅黑" w:cs="Arial" w:hint="eastAsia"/>
          <w:kern w:val="0"/>
          <w:sz w:val="24"/>
        </w:rPr>
        <w:t>作出</w:t>
      </w:r>
      <w:proofErr w:type="gramEnd"/>
      <w:r w:rsidRPr="00C34E0B">
        <w:rPr>
          <w:rFonts w:ascii="微软雅黑" w:eastAsia="微软雅黑" w:hAnsi="微软雅黑" w:cs="Arial" w:hint="eastAsia"/>
          <w:kern w:val="0"/>
          <w:sz w:val="24"/>
        </w:rPr>
        <w:t>行政许可决定的；</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（二）发现违法行为不予查处的；</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（三）有不依法履行监督管理职责的其他行为的。</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第二十九条</w:t>
      </w:r>
      <w:r w:rsidRPr="00C34E0B">
        <w:rPr>
          <w:rFonts w:ascii="微软雅黑" w:eastAsia="微软雅黑" w:hAnsi="微软雅黑" w:cs="Arial" w:hint="eastAsia"/>
          <w:kern w:val="0"/>
          <w:sz w:val="24"/>
        </w:rPr>
        <w:t xml:space="preserve">　违反本法第十四条规定，电网企业未按照规定完成收购可再生能源电量，造成可再生能源发电企业经济损失的，应当承担赔偿责任，并由国家电力监管机构责令限期改正；拒不改正的，处以可再生能源发电企业经济损失额一倍以下的罚款。</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第三十条</w:t>
      </w:r>
      <w:r w:rsidRPr="00C34E0B">
        <w:rPr>
          <w:rFonts w:ascii="微软雅黑" w:eastAsia="微软雅黑" w:hAnsi="微软雅黑" w:cs="Arial" w:hint="eastAsia"/>
          <w:kern w:val="0"/>
          <w:sz w:val="24"/>
        </w:rPr>
        <w:t xml:space="preserve">　违反本法第十六条第二款规定，经营燃气管网、热力管网的企业不准许符合入网技术标准的燃气、热力入网，造成燃气、热力生产企业经济损失的，应当承担赔偿责任，并由省级人民政府管理能源工作的部门责令限期改正；拒不改正的，处以燃气、热力生产企业经济损失额一倍以下的罚款。</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第三十一条</w:t>
      </w:r>
      <w:r w:rsidRPr="00C34E0B">
        <w:rPr>
          <w:rFonts w:ascii="微软雅黑" w:eastAsia="微软雅黑" w:hAnsi="微软雅黑" w:cs="Arial" w:hint="eastAsia"/>
          <w:kern w:val="0"/>
          <w:sz w:val="24"/>
        </w:rPr>
        <w:t xml:space="preserve">　违反本法第十六条第三款规定，石油销售企业未按照规定将符合国家标准的生物液体燃料纳入其燃料销售体系，造成生物液体燃料生产企业经济损失的，应当承担赔偿责任，并由国务院能源主管部门或者省级人民政府管理能源工作的部门责令限期改正；拒不改正的，处以生物液体燃料生产企业经济损失额一倍以下的罚款。</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jc w:val="center"/>
        <w:rPr>
          <w:rFonts w:ascii="微软雅黑" w:eastAsia="微软雅黑" w:hAnsi="微软雅黑" w:cs="黑体"/>
          <w:kern w:val="0"/>
          <w:sz w:val="24"/>
        </w:rPr>
      </w:pPr>
      <w:r w:rsidRPr="00C34E0B">
        <w:rPr>
          <w:rFonts w:ascii="微软雅黑" w:eastAsia="微软雅黑" w:hAnsi="微软雅黑" w:cs="黑体" w:hint="eastAsia"/>
          <w:kern w:val="0"/>
          <w:sz w:val="24"/>
        </w:rPr>
        <w:t>第八章　附则</w:t>
      </w:r>
    </w:p>
    <w:p w:rsidR="00F72AFA" w:rsidRPr="00C34E0B" w:rsidRDefault="00F72AFA" w:rsidP="00C34E0B">
      <w:pPr>
        <w:spacing w:line="320" w:lineRule="exact"/>
        <w:rPr>
          <w:rFonts w:ascii="微软雅黑" w:eastAsia="微软雅黑" w:hAnsi="微软雅黑" w:cs="宋体"/>
          <w:kern w:val="0"/>
          <w:sz w:val="24"/>
        </w:rPr>
      </w:pP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第三十二条</w:t>
      </w:r>
      <w:r w:rsidRPr="00C34E0B">
        <w:rPr>
          <w:rFonts w:ascii="微软雅黑" w:eastAsia="微软雅黑" w:hAnsi="微软雅黑" w:cs="Arial" w:hint="eastAsia"/>
          <w:kern w:val="0"/>
          <w:sz w:val="24"/>
        </w:rPr>
        <w:t xml:space="preserve">　本法中下列用语的含义：</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（一）生物质能，是指利用自然界的植物、粪便以及城乡有机废物转化成的能源。</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（二）可再生能源独立电力系统，是指不与电网连接的单独运行的可再生能源电力系统。</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（三）能源作物，是指经专门种植，用以提供能源原料的草本和木本植物。</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（四）生物液体燃料，是指利用生物质资源生产的甲醇、乙醇和生物柴油等液体燃料。</w:t>
      </w:r>
    </w:p>
    <w:p w:rsidR="00F72AFA" w:rsidRPr="00C34E0B" w:rsidRDefault="00DE40B4" w:rsidP="00C34E0B">
      <w:pPr>
        <w:spacing w:line="320" w:lineRule="exact"/>
        <w:rPr>
          <w:rFonts w:ascii="微软雅黑" w:eastAsia="微软雅黑" w:hAnsi="微软雅黑" w:cs="Arial"/>
          <w:kern w:val="0"/>
          <w:sz w:val="24"/>
        </w:rPr>
      </w:pPr>
      <w:r w:rsidRPr="00C34E0B">
        <w:rPr>
          <w:rFonts w:ascii="微软雅黑" w:eastAsia="微软雅黑" w:hAnsi="微软雅黑" w:cs="Arial" w:hint="eastAsia"/>
          <w:kern w:val="0"/>
          <w:sz w:val="24"/>
        </w:rPr>
        <w:t xml:space="preserve">　　</w:t>
      </w:r>
      <w:r w:rsidRPr="00C34E0B">
        <w:rPr>
          <w:rFonts w:ascii="微软雅黑" w:eastAsia="微软雅黑" w:hAnsi="微软雅黑" w:cs="黑体" w:hint="eastAsia"/>
          <w:kern w:val="0"/>
          <w:sz w:val="24"/>
        </w:rPr>
        <w:t>第三十三条</w:t>
      </w:r>
      <w:r w:rsidRPr="00C34E0B">
        <w:rPr>
          <w:rFonts w:ascii="微软雅黑" w:eastAsia="微软雅黑" w:hAnsi="微软雅黑" w:cs="Arial" w:hint="eastAsia"/>
          <w:kern w:val="0"/>
          <w:sz w:val="24"/>
        </w:rPr>
        <w:t xml:space="preserve">　本法自2006年1月1日起施行。</w:t>
      </w:r>
      <w:bookmarkStart w:id="0" w:name="_GoBack"/>
      <w:bookmarkEnd w:id="0"/>
    </w:p>
    <w:sectPr w:rsidR="00F72AFA" w:rsidRPr="00C34E0B" w:rsidSect="00C34E0B">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FDF" w:rsidRDefault="006B3FDF" w:rsidP="00F72AFA">
      <w:r>
        <w:separator/>
      </w:r>
    </w:p>
  </w:endnote>
  <w:endnote w:type="continuationSeparator" w:id="0">
    <w:p w:rsidR="006B3FDF" w:rsidRDefault="006B3FDF" w:rsidP="00F7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FA" w:rsidRDefault="006B3FDF">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72AFA" w:rsidRDefault="00DE40B4">
                <w:pPr>
                  <w:pStyle w:val="a7"/>
                  <w:rPr>
                    <w:rFonts w:ascii="宋体" w:eastAsia="宋体" w:hAnsi="宋体" w:cs="宋体"/>
                    <w:sz w:val="28"/>
                    <w:szCs w:val="28"/>
                  </w:rPr>
                </w:pPr>
                <w:r>
                  <w:rPr>
                    <w:rFonts w:ascii="宋体" w:eastAsia="宋体" w:hAnsi="宋体" w:cs="宋体" w:hint="eastAsia"/>
                    <w:sz w:val="28"/>
                    <w:szCs w:val="28"/>
                  </w:rPr>
                  <w:t xml:space="preserve">　—</w:t>
                </w:r>
                <w:r w:rsidR="00F72AF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72AFA">
                  <w:rPr>
                    <w:rFonts w:ascii="宋体" w:eastAsia="宋体" w:hAnsi="宋体" w:cs="宋体" w:hint="eastAsia"/>
                    <w:sz w:val="28"/>
                    <w:szCs w:val="28"/>
                  </w:rPr>
                  <w:fldChar w:fldCharType="separate"/>
                </w:r>
                <w:r w:rsidR="0028572C">
                  <w:rPr>
                    <w:rFonts w:ascii="宋体" w:eastAsia="宋体" w:hAnsi="宋体" w:cs="宋体"/>
                    <w:noProof/>
                    <w:sz w:val="28"/>
                    <w:szCs w:val="28"/>
                  </w:rPr>
                  <w:t>2</w:t>
                </w:r>
                <w:r w:rsidR="00F72AF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FA" w:rsidRDefault="006B3FDF">
    <w:pPr>
      <w:pStyle w:val="a7"/>
    </w:pPr>
    <w:r>
      <w:pict>
        <v:shapetype id="_x0000_t202" coordsize="21600,21600" o:spt="202" path="m,l,21600r21600,l21600,xe">
          <v:stroke joinstyle="miter"/>
          <v:path gradientshapeok="t" o:connecttype="rect"/>
        </v:shapetype>
        <v:shape id="_x0000_s2050" type="#_x0000_t202" style="position:absolute;margin-left:455.75pt;margin-top:-1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72AFA" w:rsidRDefault="00DE40B4">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F72AF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72AFA">
                  <w:rPr>
                    <w:rFonts w:ascii="宋体" w:eastAsia="宋体" w:hAnsi="宋体" w:cs="宋体" w:hint="eastAsia"/>
                    <w:sz w:val="28"/>
                    <w:szCs w:val="28"/>
                  </w:rPr>
                  <w:fldChar w:fldCharType="separate"/>
                </w:r>
                <w:r w:rsidR="003625A9">
                  <w:rPr>
                    <w:rFonts w:ascii="宋体" w:eastAsia="宋体" w:hAnsi="宋体" w:cs="宋体"/>
                    <w:noProof/>
                    <w:sz w:val="28"/>
                    <w:szCs w:val="28"/>
                  </w:rPr>
                  <w:t>3</w:t>
                </w:r>
                <w:r w:rsidR="00F72AF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FDF" w:rsidRDefault="006B3FDF" w:rsidP="00F72AFA">
      <w:r>
        <w:separator/>
      </w:r>
    </w:p>
  </w:footnote>
  <w:footnote w:type="continuationSeparator" w:id="0">
    <w:p w:rsidR="006B3FDF" w:rsidRDefault="006B3FDF" w:rsidP="00F7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FA" w:rsidRDefault="00F72AF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FA" w:rsidRDefault="00F72AF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8572C"/>
    <w:rsid w:val="00297298"/>
    <w:rsid w:val="002979E0"/>
    <w:rsid w:val="002A3EF0"/>
    <w:rsid w:val="002F7DF8"/>
    <w:rsid w:val="00304A84"/>
    <w:rsid w:val="00320296"/>
    <w:rsid w:val="00341FBF"/>
    <w:rsid w:val="00361106"/>
    <w:rsid w:val="003625A9"/>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3FDF"/>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34E0B"/>
    <w:rsid w:val="00CE5247"/>
    <w:rsid w:val="00D54AF3"/>
    <w:rsid w:val="00D54B93"/>
    <w:rsid w:val="00D70A89"/>
    <w:rsid w:val="00D76CB4"/>
    <w:rsid w:val="00D84514"/>
    <w:rsid w:val="00DC5C43"/>
    <w:rsid w:val="00DD0B8B"/>
    <w:rsid w:val="00DE40B4"/>
    <w:rsid w:val="00E235DD"/>
    <w:rsid w:val="00E64956"/>
    <w:rsid w:val="00EE4F6D"/>
    <w:rsid w:val="00F00D39"/>
    <w:rsid w:val="00F72AFA"/>
    <w:rsid w:val="00FA3C68"/>
    <w:rsid w:val="00FC68C1"/>
    <w:rsid w:val="08210A6D"/>
    <w:rsid w:val="0B957AC8"/>
    <w:rsid w:val="0C4E6F56"/>
    <w:rsid w:val="0D2F2A95"/>
    <w:rsid w:val="19F86B68"/>
    <w:rsid w:val="28A83523"/>
    <w:rsid w:val="2F7753E6"/>
    <w:rsid w:val="3258761C"/>
    <w:rsid w:val="34B13AF4"/>
    <w:rsid w:val="44BC0EEC"/>
    <w:rsid w:val="482A39F4"/>
    <w:rsid w:val="56755F92"/>
    <w:rsid w:val="5B334BF9"/>
    <w:rsid w:val="60BE44F5"/>
    <w:rsid w:val="653A70E2"/>
    <w:rsid w:val="6A980B62"/>
    <w:rsid w:val="6C1E17DE"/>
    <w:rsid w:val="6D617986"/>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44E67D"/>
  <w15:docId w15:val="{4446174C-1C5F-4CC4-BFD7-37BDF5B5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AFA"/>
    <w:pPr>
      <w:widowControl w:val="0"/>
      <w:jc w:val="both"/>
    </w:pPr>
    <w:rPr>
      <w:rFonts w:eastAsia="仿宋_GB2312"/>
      <w:kern w:val="2"/>
      <w:sz w:val="32"/>
      <w:szCs w:val="24"/>
    </w:rPr>
  </w:style>
  <w:style w:type="paragraph" w:styleId="1">
    <w:name w:val="heading 1"/>
    <w:basedOn w:val="a"/>
    <w:next w:val="a"/>
    <w:link w:val="10"/>
    <w:qFormat/>
    <w:rsid w:val="00F72AF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72AF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F72AF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72AFA"/>
    <w:pPr>
      <w:shd w:val="clear" w:color="auto" w:fill="000080"/>
    </w:pPr>
  </w:style>
  <w:style w:type="paragraph" w:styleId="a4">
    <w:name w:val="Plain Text"/>
    <w:basedOn w:val="a"/>
    <w:link w:val="a5"/>
    <w:uiPriority w:val="99"/>
    <w:unhideWhenUsed/>
    <w:qFormat/>
    <w:rsid w:val="00F72AFA"/>
    <w:rPr>
      <w:rFonts w:ascii="宋体" w:eastAsia="宋体" w:hAnsi="Courier New"/>
      <w:sz w:val="21"/>
      <w:szCs w:val="21"/>
    </w:rPr>
  </w:style>
  <w:style w:type="paragraph" w:styleId="a6">
    <w:name w:val="Balloon Text"/>
    <w:basedOn w:val="a"/>
    <w:semiHidden/>
    <w:qFormat/>
    <w:rsid w:val="00F72AFA"/>
    <w:rPr>
      <w:sz w:val="18"/>
      <w:szCs w:val="18"/>
    </w:rPr>
  </w:style>
  <w:style w:type="paragraph" w:styleId="a7">
    <w:name w:val="footer"/>
    <w:basedOn w:val="a"/>
    <w:link w:val="a8"/>
    <w:uiPriority w:val="99"/>
    <w:qFormat/>
    <w:rsid w:val="00F72AFA"/>
    <w:pPr>
      <w:tabs>
        <w:tab w:val="center" w:pos="4153"/>
        <w:tab w:val="right" w:pos="8306"/>
      </w:tabs>
      <w:snapToGrid w:val="0"/>
      <w:jc w:val="left"/>
    </w:pPr>
    <w:rPr>
      <w:sz w:val="18"/>
      <w:szCs w:val="18"/>
    </w:rPr>
  </w:style>
  <w:style w:type="paragraph" w:styleId="a9">
    <w:name w:val="header"/>
    <w:basedOn w:val="a"/>
    <w:link w:val="aa"/>
    <w:uiPriority w:val="99"/>
    <w:qFormat/>
    <w:rsid w:val="00F72AF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72AFA"/>
  </w:style>
  <w:style w:type="paragraph" w:styleId="ab">
    <w:name w:val="Subtitle"/>
    <w:basedOn w:val="a"/>
    <w:next w:val="a"/>
    <w:link w:val="ac"/>
    <w:qFormat/>
    <w:rsid w:val="00F72AF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F72AFA"/>
    <w:pPr>
      <w:ind w:leftChars="200" w:left="420"/>
    </w:pPr>
  </w:style>
  <w:style w:type="paragraph" w:styleId="ad">
    <w:name w:val="Title"/>
    <w:basedOn w:val="a"/>
    <w:next w:val="a"/>
    <w:link w:val="ae"/>
    <w:qFormat/>
    <w:rsid w:val="00F72AFA"/>
    <w:pPr>
      <w:spacing w:before="240" w:after="60"/>
      <w:jc w:val="center"/>
      <w:outlineLvl w:val="0"/>
    </w:pPr>
    <w:rPr>
      <w:rFonts w:ascii="Cambria" w:eastAsia="宋体" w:hAnsi="Cambria"/>
      <w:b/>
      <w:bCs/>
      <w:szCs w:val="32"/>
    </w:rPr>
  </w:style>
  <w:style w:type="character" w:styleId="af">
    <w:name w:val="Strong"/>
    <w:qFormat/>
    <w:rsid w:val="00F72AFA"/>
    <w:rPr>
      <w:b/>
      <w:bCs/>
    </w:rPr>
  </w:style>
  <w:style w:type="character" w:styleId="af0">
    <w:name w:val="page number"/>
    <w:basedOn w:val="a0"/>
    <w:qFormat/>
    <w:rsid w:val="00F72AFA"/>
  </w:style>
  <w:style w:type="character" w:styleId="af1">
    <w:name w:val="FollowedHyperlink"/>
    <w:qFormat/>
    <w:rsid w:val="00F72AFA"/>
    <w:rPr>
      <w:color w:val="800080"/>
      <w:u w:val="single"/>
    </w:rPr>
  </w:style>
  <w:style w:type="character" w:styleId="af2">
    <w:name w:val="Emphasis"/>
    <w:qFormat/>
    <w:rsid w:val="00F72AFA"/>
    <w:rPr>
      <w:i/>
      <w:iCs/>
    </w:rPr>
  </w:style>
  <w:style w:type="character" w:styleId="af3">
    <w:name w:val="Hyperlink"/>
    <w:uiPriority w:val="99"/>
    <w:qFormat/>
    <w:rsid w:val="00F72AFA"/>
    <w:rPr>
      <w:rFonts w:ascii="ˎ̥" w:hAnsi="ˎ̥" w:hint="default"/>
      <w:color w:val="0404B3"/>
      <w:sz w:val="18"/>
      <w:szCs w:val="18"/>
      <w:u w:val="none"/>
    </w:rPr>
  </w:style>
  <w:style w:type="paragraph" w:customStyle="1" w:styleId="Style20">
    <w:name w:val="_Style 20"/>
    <w:basedOn w:val="1"/>
    <w:next w:val="a"/>
    <w:uiPriority w:val="39"/>
    <w:qFormat/>
    <w:rsid w:val="00F72AF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72AF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F72AFA"/>
    <w:rPr>
      <w:rFonts w:eastAsia="仿宋_GB2312"/>
      <w:kern w:val="2"/>
      <w:sz w:val="18"/>
      <w:szCs w:val="18"/>
    </w:rPr>
  </w:style>
  <w:style w:type="character" w:customStyle="1" w:styleId="a5">
    <w:name w:val="纯文本 字符"/>
    <w:link w:val="a4"/>
    <w:uiPriority w:val="99"/>
    <w:qFormat/>
    <w:rsid w:val="00F72AFA"/>
    <w:rPr>
      <w:rFonts w:ascii="宋体" w:hAnsi="Courier New" w:cs="Courier New"/>
      <w:kern w:val="2"/>
      <w:sz w:val="21"/>
      <w:szCs w:val="21"/>
    </w:rPr>
  </w:style>
  <w:style w:type="character" w:customStyle="1" w:styleId="Char1">
    <w:name w:val="纯文本 Char1"/>
    <w:qFormat/>
    <w:rsid w:val="00F72AFA"/>
    <w:rPr>
      <w:rFonts w:ascii="宋体" w:hAnsi="Courier New" w:cs="Courier New"/>
      <w:kern w:val="2"/>
      <w:sz w:val="21"/>
      <w:szCs w:val="21"/>
    </w:rPr>
  </w:style>
  <w:style w:type="character" w:customStyle="1" w:styleId="ac">
    <w:name w:val="副标题 字符"/>
    <w:link w:val="ab"/>
    <w:qFormat/>
    <w:rsid w:val="00F72AFA"/>
    <w:rPr>
      <w:rFonts w:ascii="Cambria" w:hAnsi="Cambria" w:cs="Times New Roman"/>
      <w:b/>
      <w:bCs/>
      <w:kern w:val="28"/>
      <w:sz w:val="32"/>
      <w:szCs w:val="32"/>
    </w:rPr>
  </w:style>
  <w:style w:type="character" w:customStyle="1" w:styleId="10">
    <w:name w:val="标题 1 字符"/>
    <w:link w:val="1"/>
    <w:qFormat/>
    <w:rsid w:val="00F72AFA"/>
    <w:rPr>
      <w:rFonts w:eastAsia="仿宋_GB2312"/>
      <w:b/>
      <w:bCs/>
      <w:kern w:val="44"/>
      <w:sz w:val="44"/>
      <w:szCs w:val="44"/>
    </w:rPr>
  </w:style>
  <w:style w:type="character" w:customStyle="1" w:styleId="ae">
    <w:name w:val="标题 字符"/>
    <w:link w:val="ad"/>
    <w:qFormat/>
    <w:rsid w:val="00F72AFA"/>
    <w:rPr>
      <w:rFonts w:ascii="Cambria" w:hAnsi="Cambria" w:cs="Times New Roman"/>
      <w:b/>
      <w:bCs/>
      <w:kern w:val="2"/>
      <w:sz w:val="32"/>
      <w:szCs w:val="32"/>
    </w:rPr>
  </w:style>
  <w:style w:type="character" w:customStyle="1" w:styleId="11Char">
    <w:name w:val="1.1 Char"/>
    <w:link w:val="11"/>
    <w:qFormat/>
    <w:rsid w:val="00F72AFA"/>
    <w:rPr>
      <w:rFonts w:ascii="Calibri" w:hAnsi="Calibri"/>
      <w:b/>
      <w:bCs/>
      <w:kern w:val="2"/>
      <w:sz w:val="30"/>
      <w:szCs w:val="32"/>
    </w:rPr>
  </w:style>
  <w:style w:type="character" w:customStyle="1" w:styleId="30">
    <w:name w:val="标题 3 字符"/>
    <w:link w:val="3"/>
    <w:semiHidden/>
    <w:qFormat/>
    <w:rsid w:val="00F72AFA"/>
    <w:rPr>
      <w:rFonts w:eastAsia="仿宋_GB2312"/>
      <w:b/>
      <w:bCs/>
      <w:kern w:val="2"/>
      <w:sz w:val="32"/>
      <w:szCs w:val="32"/>
    </w:rPr>
  </w:style>
  <w:style w:type="character" w:customStyle="1" w:styleId="20">
    <w:name w:val="标题 2 字符"/>
    <w:link w:val="2"/>
    <w:uiPriority w:val="9"/>
    <w:qFormat/>
    <w:rsid w:val="00F72AFA"/>
    <w:rPr>
      <w:rFonts w:ascii="Cambria" w:hAnsi="Cambria"/>
      <w:b/>
      <w:bCs/>
      <w:kern w:val="2"/>
      <w:sz w:val="32"/>
      <w:szCs w:val="32"/>
    </w:rPr>
  </w:style>
  <w:style w:type="character" w:customStyle="1" w:styleId="a8">
    <w:name w:val="页脚 字符"/>
    <w:link w:val="a7"/>
    <w:uiPriority w:val="99"/>
    <w:qFormat/>
    <w:rsid w:val="00F72AF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751</Words>
  <Characters>4281</Characters>
  <Application>Microsoft Office Word</Application>
  <DocSecurity>0</DocSecurity>
  <Lines>35</Lines>
  <Paragraphs>10</Paragraphs>
  <ScaleCrop>false</ScaleCrop>
  <Company>Lenovo</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